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C6108">
      <w:pPr>
        <w:jc w:val="center"/>
        <w:rPr>
          <w:rFonts w:hint="eastAsia" w:ascii="宋体" w:hAnsi="宋体"/>
          <w:b/>
          <w:color w:val="auto"/>
          <w:sz w:val="36"/>
          <w:szCs w:val="36"/>
        </w:rPr>
      </w:pPr>
      <w:r>
        <w:rPr>
          <w:rFonts w:hint="eastAsia" w:ascii="宋体" w:hAnsi="宋体"/>
          <w:b/>
          <w:color w:val="auto"/>
          <w:sz w:val="36"/>
          <w:szCs w:val="36"/>
          <w:lang w:eastAsia="zh-CN"/>
        </w:rPr>
        <w:t>黄山市统计局</w:t>
      </w:r>
      <w:r>
        <w:rPr>
          <w:rFonts w:hint="eastAsia" w:ascii="宋体" w:hAnsi="宋体"/>
          <w:b/>
          <w:color w:val="auto"/>
          <w:sz w:val="36"/>
          <w:szCs w:val="36"/>
          <w:lang w:val="en-US" w:eastAsia="zh-CN"/>
        </w:rPr>
        <w:t>部门</w:t>
      </w:r>
      <w:r>
        <w:rPr>
          <w:rFonts w:hint="eastAsia" w:ascii="宋体" w:hAnsi="宋体"/>
          <w:b/>
          <w:color w:val="auto"/>
          <w:sz w:val="36"/>
          <w:szCs w:val="36"/>
          <w:lang w:eastAsia="zh-CN"/>
        </w:rPr>
        <w:t>202</w:t>
      </w:r>
      <w:r>
        <w:rPr>
          <w:rFonts w:hint="eastAsia" w:ascii="宋体" w:hAnsi="宋体"/>
          <w:b/>
          <w:color w:val="auto"/>
          <w:sz w:val="36"/>
          <w:szCs w:val="36"/>
          <w:lang w:val="en-US" w:eastAsia="zh-CN"/>
        </w:rPr>
        <w:t>4</w:t>
      </w:r>
      <w:r>
        <w:rPr>
          <w:rFonts w:ascii="宋体" w:hAnsi="宋体"/>
          <w:b/>
          <w:color w:val="auto"/>
          <w:sz w:val="36"/>
          <w:szCs w:val="36"/>
        </w:rPr>
        <w:t>年</w:t>
      </w:r>
      <w:r>
        <w:rPr>
          <w:rFonts w:hint="eastAsia" w:ascii="宋体" w:hAnsi="宋体"/>
          <w:b/>
          <w:color w:val="auto"/>
          <w:sz w:val="36"/>
          <w:szCs w:val="36"/>
        </w:rPr>
        <w:t>度一般公共预算财政拨款</w:t>
      </w:r>
      <w:r>
        <w:rPr>
          <w:rFonts w:ascii="宋体" w:hAnsi="宋体"/>
          <w:b/>
          <w:color w:val="auto"/>
          <w:sz w:val="36"/>
          <w:szCs w:val="36"/>
        </w:rPr>
        <w:t>“三公</w:t>
      </w:r>
      <w:r>
        <w:rPr>
          <w:rFonts w:hint="eastAsia" w:ascii="宋体" w:hAnsi="宋体"/>
          <w:b/>
          <w:color w:val="auto"/>
          <w:sz w:val="36"/>
          <w:szCs w:val="36"/>
        </w:rPr>
        <w:t>”</w:t>
      </w:r>
      <w:r>
        <w:rPr>
          <w:rFonts w:ascii="宋体" w:hAnsi="宋体"/>
          <w:b/>
          <w:color w:val="auto"/>
          <w:sz w:val="36"/>
          <w:szCs w:val="36"/>
        </w:rPr>
        <w:t>经费</w:t>
      </w:r>
      <w:r>
        <w:rPr>
          <w:rFonts w:hint="eastAsia" w:ascii="宋体" w:hAnsi="宋体"/>
          <w:b/>
          <w:color w:val="auto"/>
          <w:sz w:val="36"/>
          <w:szCs w:val="36"/>
        </w:rPr>
        <w:t>支出决算</w:t>
      </w:r>
    </w:p>
    <w:p w14:paraId="020736A0">
      <w:pPr>
        <w:jc w:val="center"/>
        <w:rPr>
          <w:rFonts w:hint="eastAsia" w:ascii="楷体_GB2312" w:eastAsia="楷体_GB2312"/>
          <w:color w:val="auto"/>
          <w:szCs w:val="32"/>
        </w:rPr>
      </w:pPr>
    </w:p>
    <w:p w14:paraId="2526A45B">
      <w:pPr>
        <w:adjustRightInd w:val="0"/>
        <w:snapToGrid w:val="0"/>
        <w:spacing w:line="360" w:lineRule="auto"/>
        <w:jc w:val="center"/>
        <w:rPr>
          <w:rFonts w:hint="eastAsia" w:ascii="宋体" w:hAnsi="宋体"/>
          <w:color w:val="auto"/>
          <w:sz w:val="6"/>
          <w:szCs w:val="32"/>
        </w:rPr>
      </w:pPr>
    </w:p>
    <w:p w14:paraId="1E3E85A2">
      <w:pPr>
        <w:rPr>
          <w:rFonts w:hint="eastAsia"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一、</w:t>
      </w:r>
      <w:r>
        <w:rPr>
          <w:rFonts w:hint="eastAsia" w:ascii="黑体" w:hAnsi="黑体" w:eastAsia="黑体"/>
          <w:color w:val="auto"/>
          <w:szCs w:val="32"/>
          <w:lang w:eastAsia="zh-CN"/>
        </w:rPr>
        <w:t>2024年度</w:t>
      </w:r>
      <w:r>
        <w:rPr>
          <w:rFonts w:hint="eastAsia" w:ascii="黑体" w:hAnsi="黑体" w:eastAsia="黑体"/>
          <w:color w:val="auto"/>
          <w:szCs w:val="32"/>
        </w:rPr>
        <w:t>一般公共预算财政拨款“三公”经费支出决算表</w:t>
      </w:r>
    </w:p>
    <w:tbl>
      <w:tblPr>
        <w:tblStyle w:val="3"/>
        <w:tblW w:w="8817" w:type="dxa"/>
        <w:jc w:val="center"/>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06BB8A58">
        <w:tblPrEx>
          <w:tblCellMar>
            <w:top w:w="0" w:type="dxa"/>
            <w:left w:w="0" w:type="dxa"/>
            <w:bottom w:w="0" w:type="dxa"/>
            <w:right w:w="0" w:type="dxa"/>
          </w:tblCellMar>
        </w:tblPrEx>
        <w:trPr>
          <w:trHeight w:val="290" w:hRule="atLeast"/>
          <w:jc w:val="center"/>
        </w:trPr>
        <w:tc>
          <w:tcPr>
            <w:tcW w:w="597" w:type="dxa"/>
            <w:tcBorders>
              <w:top w:val="nil"/>
              <w:left w:val="nil"/>
              <w:bottom w:val="nil"/>
              <w:right w:val="nil"/>
            </w:tcBorders>
            <w:shd w:val="clear" w:color="auto" w:fill="FFFFFF"/>
            <w:noWrap/>
            <w:tcMar>
              <w:top w:w="12" w:type="dxa"/>
              <w:left w:w="12" w:type="dxa"/>
              <w:right w:w="12" w:type="dxa"/>
            </w:tcMar>
            <w:vAlign w:val="center"/>
          </w:tcPr>
          <w:p w14:paraId="6AA22137">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53788940">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79781D53">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16A5693C">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089B93B9">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314CE923">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511AA8D5">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4245E6B1">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6372F7E6">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77EE2967">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33E4C4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2FB838AA">
        <w:tblPrEx>
          <w:tblCellMar>
            <w:top w:w="0" w:type="dxa"/>
            <w:left w:w="0" w:type="dxa"/>
            <w:bottom w:w="0" w:type="dxa"/>
            <w:right w:w="0" w:type="dxa"/>
          </w:tblCellMar>
        </w:tblPrEx>
        <w:trPr>
          <w:trHeight w:val="540" w:hRule="atLeast"/>
          <w:jc w:val="center"/>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6859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0304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179E27A4">
        <w:tblPrEx>
          <w:tblCellMar>
            <w:top w:w="0" w:type="dxa"/>
            <w:left w:w="0" w:type="dxa"/>
            <w:bottom w:w="0" w:type="dxa"/>
            <w:right w:w="0" w:type="dxa"/>
          </w:tblCellMar>
        </w:tblPrEx>
        <w:trPr>
          <w:trHeight w:val="578"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6C80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6E4D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F436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B6CF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3610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1C0A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3B13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BA30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45CFFD35">
        <w:tblPrEx>
          <w:tblCellMar>
            <w:top w:w="0" w:type="dxa"/>
            <w:left w:w="0" w:type="dxa"/>
            <w:bottom w:w="0" w:type="dxa"/>
            <w:right w:w="0" w:type="dxa"/>
          </w:tblCellMar>
        </w:tblPrEx>
        <w:trPr>
          <w:trHeight w:val="578"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FE0346">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DFB9C3">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B447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5C40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226A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EC8935">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78E42C">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258DF1">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7DB5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D2A7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C23D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3C026C">
            <w:pPr>
              <w:jc w:val="center"/>
              <w:rPr>
                <w:rFonts w:hint="eastAsia" w:ascii="宋体" w:hAnsi="宋体" w:eastAsia="宋体" w:cs="宋体"/>
                <w:i w:val="0"/>
                <w:color w:val="000000"/>
                <w:sz w:val="18"/>
                <w:szCs w:val="18"/>
                <w:u w:val="none"/>
              </w:rPr>
            </w:pPr>
          </w:p>
        </w:tc>
      </w:tr>
      <w:tr w14:paraId="538CBC4F">
        <w:tblPrEx>
          <w:tblCellMar>
            <w:top w:w="0" w:type="dxa"/>
            <w:left w:w="0" w:type="dxa"/>
            <w:bottom w:w="0" w:type="dxa"/>
            <w:right w:w="0" w:type="dxa"/>
          </w:tblCellMar>
        </w:tblPrEx>
        <w:trPr>
          <w:trHeight w:val="540" w:hRule="atLeast"/>
          <w:jc w:val="center"/>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F402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CEC7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69D4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5053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1AF7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AAA1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A02D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106E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84E3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F02D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5636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E15C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587CA49B">
        <w:tblPrEx>
          <w:tblCellMar>
            <w:top w:w="0" w:type="dxa"/>
            <w:left w:w="0" w:type="dxa"/>
            <w:bottom w:w="0" w:type="dxa"/>
            <w:right w:w="0" w:type="dxa"/>
          </w:tblCellMar>
        </w:tblPrEx>
        <w:trPr>
          <w:trHeight w:val="414" w:hRule="atLeast"/>
          <w:jc w:val="center"/>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38CECB">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2.95</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8B10CC">
            <w:pPr>
              <w:rPr>
                <w:rFonts w:hint="eastAsia" w:ascii="宋体" w:hAnsi="宋体" w:eastAsia="宋体" w:cs="宋体"/>
                <w:i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AB2B40">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3447B9">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8CAD64">
            <w:pPr>
              <w:rPr>
                <w:rFonts w:hint="eastAsia" w:ascii="宋体" w:hAnsi="宋体" w:eastAsia="宋体" w:cs="宋体"/>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432949">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2.95</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016719">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2.03</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71D920">
            <w:pPr>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F03B82">
            <w:pP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0028C7">
            <w:pPr>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E719F5">
            <w:pPr>
              <w:rPr>
                <w:rFonts w:hint="eastAsia" w:ascii="宋体" w:hAnsi="宋体" w:eastAsia="宋体" w:cs="宋体"/>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6F0A6C">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2.03</w:t>
            </w:r>
          </w:p>
        </w:tc>
      </w:tr>
    </w:tbl>
    <w:p w14:paraId="1A38250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olor w:val="auto"/>
          <w:szCs w:val="32"/>
        </w:rPr>
      </w:pPr>
      <w:r>
        <w:rPr>
          <w:rFonts w:hint="eastAsia" w:ascii="仿宋_GB2312" w:hAnsi="仿宋"/>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黑体" w:hAnsi="黑体" w:eastAsia="黑体"/>
          <w:color w:val="auto"/>
          <w:szCs w:val="32"/>
        </w:rPr>
        <w:t xml:space="preserve">                          </w:t>
      </w:r>
    </w:p>
    <w:p w14:paraId="4577D891">
      <w:pPr>
        <w:rPr>
          <w:rFonts w:hint="eastAsia"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二</w:t>
      </w:r>
      <w:r>
        <w:rPr>
          <w:rFonts w:ascii="黑体" w:hAnsi="黑体" w:eastAsia="黑体"/>
          <w:color w:val="auto"/>
          <w:szCs w:val="32"/>
        </w:rPr>
        <w:t>、</w:t>
      </w:r>
      <w:r>
        <w:rPr>
          <w:rFonts w:hint="eastAsia" w:ascii="黑体" w:hAnsi="黑体" w:eastAsia="黑体"/>
          <w:color w:val="auto"/>
          <w:szCs w:val="32"/>
          <w:lang w:eastAsia="zh-CN"/>
        </w:rPr>
        <w:t>2024年度</w:t>
      </w:r>
      <w:r>
        <w:rPr>
          <w:rFonts w:hint="eastAsia" w:ascii="黑体" w:hAnsi="黑体" w:eastAsia="黑体"/>
          <w:color w:val="auto"/>
          <w:szCs w:val="32"/>
        </w:rPr>
        <w:t>一般公共预算财政拨款“三公”经费支出</w:t>
      </w:r>
      <w:r>
        <w:rPr>
          <w:rFonts w:ascii="黑体" w:hAnsi="黑体" w:eastAsia="黑体"/>
          <w:color w:val="auto"/>
          <w:szCs w:val="32"/>
        </w:rPr>
        <w:t>情况说明</w:t>
      </w:r>
    </w:p>
    <w:p w14:paraId="569FC2E9">
      <w:pPr>
        <w:ind w:firstLine="643" w:firstLineChars="200"/>
        <w:rPr>
          <w:rFonts w:hint="eastAsia" w:ascii="仿宋_GB2312" w:hAnsi="仿宋"/>
          <w:b/>
          <w:color w:val="auto"/>
          <w:szCs w:val="32"/>
        </w:rPr>
      </w:pPr>
      <w:r>
        <w:rPr>
          <w:rFonts w:hint="eastAsia" w:ascii="仿宋_GB2312" w:hAnsi="仿宋"/>
          <w:b/>
          <w:color w:val="auto"/>
          <w:szCs w:val="32"/>
        </w:rPr>
        <w:t>（一）一般公共预算财政拨款“三公”经费支出决算总体情况说明。</w:t>
      </w:r>
    </w:p>
    <w:p w14:paraId="37DBE044">
      <w:pPr>
        <w:ind w:firstLine="640" w:firstLineChars="200"/>
        <w:rPr>
          <w:rFonts w:hint="eastAsia" w:ascii="楷体_GB2312" w:hAnsi="仿宋" w:eastAsia="楷体_GB2312"/>
          <w:color w:val="auto"/>
          <w:szCs w:val="32"/>
        </w:rPr>
      </w:pPr>
      <w:r>
        <w:rPr>
          <w:rFonts w:hint="eastAsia" w:ascii="仿宋_GB2312" w:hAnsi="仿宋"/>
          <w:color w:val="auto"/>
          <w:szCs w:val="32"/>
          <w:lang w:eastAsia="zh-CN"/>
        </w:rPr>
        <w:t>黄山市统计局2024年度</w:t>
      </w:r>
      <w:r>
        <w:rPr>
          <w:rFonts w:hint="eastAsia" w:ascii="仿宋_GB2312" w:hAnsi="仿宋"/>
          <w:color w:val="auto"/>
          <w:szCs w:val="32"/>
        </w:rPr>
        <w:t>一般公共预算财政拨款“三公”经费支出预算为</w:t>
      </w:r>
      <w:r>
        <w:rPr>
          <w:rFonts w:hint="eastAsia" w:ascii="仿宋_GB2312" w:hAnsi="仿宋"/>
          <w:color w:val="auto"/>
          <w:szCs w:val="32"/>
          <w:lang w:val="en-US" w:eastAsia="zh-CN"/>
        </w:rPr>
        <w:t>2.95</w:t>
      </w:r>
      <w:r>
        <w:rPr>
          <w:rFonts w:hint="eastAsia" w:ascii="仿宋_GB2312" w:hAnsi="仿宋"/>
          <w:color w:val="auto"/>
          <w:szCs w:val="32"/>
        </w:rPr>
        <w:t>万元，支出决算</w:t>
      </w:r>
      <w:r>
        <w:rPr>
          <w:rFonts w:hint="eastAsia" w:ascii="仿宋_GB2312" w:hAnsi="仿宋"/>
          <w:color w:val="auto"/>
          <w:szCs w:val="32"/>
          <w:lang w:eastAsia="zh-CN"/>
        </w:rPr>
        <w:t>为</w:t>
      </w:r>
      <w:r>
        <w:rPr>
          <w:rFonts w:hint="eastAsia" w:ascii="仿宋_GB2312" w:hAnsi="仿宋"/>
          <w:color w:val="auto"/>
          <w:szCs w:val="32"/>
          <w:lang w:val="en-US" w:eastAsia="zh-CN"/>
        </w:rPr>
        <w:t>2.03</w:t>
      </w:r>
      <w:r>
        <w:rPr>
          <w:rFonts w:hint="eastAsia" w:ascii="仿宋_GB2312" w:hAnsi="仿宋"/>
          <w:color w:val="auto"/>
          <w:szCs w:val="32"/>
        </w:rPr>
        <w:t>万元，完成预算的</w:t>
      </w:r>
      <w:r>
        <w:rPr>
          <w:rFonts w:hint="eastAsia" w:ascii="仿宋_GB2312" w:hAnsi="仿宋"/>
          <w:color w:val="auto"/>
          <w:szCs w:val="32"/>
          <w:lang w:val="en-US" w:eastAsia="zh-CN"/>
        </w:rPr>
        <w:t>68.81</w:t>
      </w:r>
      <w:r>
        <w:rPr>
          <w:rFonts w:hint="eastAsia" w:ascii="仿宋_GB2312" w:hAnsi="仿宋"/>
          <w:color w:val="auto"/>
          <w:szCs w:val="32"/>
        </w:rPr>
        <w:t>%</w:t>
      </w:r>
      <w:r>
        <w:rPr>
          <w:rFonts w:hint="eastAsia" w:ascii="仿宋_GB2312" w:hAnsi="仿宋"/>
          <w:color w:val="auto"/>
          <w:szCs w:val="32"/>
          <w:lang w:eastAsia="zh-CN"/>
        </w:rPr>
        <w:t>；</w:t>
      </w:r>
      <w:r>
        <w:rPr>
          <w:rFonts w:hint="eastAsia" w:ascii="仿宋_GB2312" w:hAnsi="仿宋"/>
          <w:color w:val="auto"/>
          <w:szCs w:val="32"/>
          <w:u w:val="none"/>
          <w:lang w:eastAsia="zh-CN"/>
        </w:rPr>
        <w:t>较上年</w:t>
      </w:r>
      <w:r>
        <w:rPr>
          <w:rFonts w:hint="eastAsia" w:ascii="仿宋_GB2312" w:hAnsi="仿宋"/>
          <w:color w:val="auto"/>
          <w:szCs w:val="32"/>
          <w:u w:val="none"/>
          <w:lang w:val="en-US" w:eastAsia="zh-CN"/>
        </w:rPr>
        <w:t>减少0.12</w:t>
      </w:r>
      <w:r>
        <w:rPr>
          <w:rFonts w:hint="eastAsia" w:ascii="仿宋_GB2312" w:hAnsi="仿宋"/>
          <w:color w:val="auto"/>
          <w:szCs w:val="32"/>
          <w:u w:val="none"/>
        </w:rPr>
        <w:t>万元</w:t>
      </w:r>
      <w:r>
        <w:rPr>
          <w:rFonts w:hint="eastAsia" w:ascii="仿宋_GB2312" w:hAnsi="仿宋"/>
          <w:color w:val="auto"/>
          <w:szCs w:val="32"/>
          <w:u w:val="none"/>
          <w:lang w:eastAsia="zh-CN"/>
        </w:rPr>
        <w:t>，</w:t>
      </w:r>
      <w:r>
        <w:rPr>
          <w:rFonts w:hint="eastAsia" w:ascii="仿宋_GB2312" w:hAnsi="仿宋"/>
          <w:color w:val="auto"/>
          <w:szCs w:val="32"/>
          <w:u w:val="none"/>
          <w:lang w:val="en-US" w:eastAsia="zh-CN"/>
        </w:rPr>
        <w:t>下降5.58%。</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于预算数的主要原因是继续贯彻中央八项规定精神，厉行节约。决算数</w:t>
      </w:r>
      <w:r>
        <w:rPr>
          <w:rFonts w:hint="eastAsia" w:ascii="仿宋_GB2312" w:hAnsi="仿宋"/>
          <w:color w:val="auto"/>
          <w:szCs w:val="32"/>
          <w:u w:val="none"/>
          <w:lang w:eastAsia="zh-CN"/>
        </w:rPr>
        <w:t>较上年</w:t>
      </w:r>
      <w:r>
        <w:rPr>
          <w:rFonts w:hint="eastAsia" w:ascii="仿宋_GB2312" w:hAnsi="仿宋"/>
          <w:color w:val="auto"/>
          <w:szCs w:val="32"/>
          <w:u w:val="none"/>
          <w:lang w:val="en-US" w:eastAsia="zh-CN"/>
        </w:rPr>
        <w:t>减少</w:t>
      </w:r>
      <w:r>
        <w:rPr>
          <w:rFonts w:hint="eastAsia" w:ascii="仿宋_GB2312" w:hAnsi="仿宋"/>
          <w:color w:val="auto"/>
          <w:szCs w:val="32"/>
          <w:u w:val="none"/>
        </w:rPr>
        <w:t>的主要原因是</w:t>
      </w:r>
      <w:r>
        <w:rPr>
          <w:rFonts w:hint="eastAsia" w:ascii="仿宋_GB2312" w:hAnsi="仿宋"/>
          <w:color w:val="auto"/>
          <w:szCs w:val="32"/>
          <w:lang w:val="en-US" w:eastAsia="zh-CN"/>
        </w:rPr>
        <w:t>厉行节约，压减“三公”经费支出</w:t>
      </w:r>
      <w:r>
        <w:rPr>
          <w:rFonts w:hint="eastAsia" w:ascii="仿宋_GB2312" w:hAnsi="仿宋"/>
          <w:color w:val="auto"/>
          <w:szCs w:val="32"/>
          <w:u w:val="none"/>
        </w:rPr>
        <w:t>。</w:t>
      </w:r>
      <w:r>
        <w:rPr>
          <w:rFonts w:hint="eastAsia" w:ascii="仿宋_GB2312" w:hAnsi="仿宋"/>
          <w:b w:val="0"/>
          <w:bCs w:val="0"/>
          <w:color w:val="auto"/>
          <w:szCs w:val="32"/>
        </w:rPr>
        <w:t>为全面反映“三公”经费支出，本次公布的“三公”经费决算为部门汇总数，包含单位本级和</w:t>
      </w:r>
      <w:r>
        <w:rPr>
          <w:rFonts w:hint="eastAsia" w:ascii="仿宋_GB2312" w:hAnsi="仿宋"/>
          <w:b w:val="0"/>
          <w:bCs w:val="0"/>
          <w:color w:val="auto"/>
          <w:szCs w:val="32"/>
          <w:lang w:eastAsia="zh-CN"/>
        </w:rPr>
        <w:t>所</w:t>
      </w:r>
      <w:r>
        <w:rPr>
          <w:rFonts w:hint="eastAsia" w:ascii="仿宋_GB2312" w:hAnsi="仿宋"/>
          <w:b w:val="0"/>
          <w:bCs w:val="0"/>
          <w:color w:val="auto"/>
          <w:szCs w:val="32"/>
        </w:rPr>
        <w:t>属单位。</w:t>
      </w:r>
    </w:p>
    <w:p w14:paraId="44977799">
      <w:pPr>
        <w:ind w:firstLine="643" w:firstLineChars="200"/>
        <w:rPr>
          <w:rFonts w:hint="eastAsia" w:ascii="仿宋_GB2312" w:hAnsi="仿宋"/>
          <w:b/>
          <w:color w:val="auto"/>
          <w:szCs w:val="32"/>
        </w:rPr>
      </w:pPr>
      <w:r>
        <w:rPr>
          <w:rFonts w:hint="eastAsia" w:ascii="仿宋_GB2312" w:hAnsi="仿宋"/>
          <w:b/>
          <w:bCs/>
          <w:color w:val="auto"/>
          <w:szCs w:val="32"/>
        </w:rPr>
        <w:t>（二）</w:t>
      </w:r>
      <w:r>
        <w:rPr>
          <w:rFonts w:hint="eastAsia" w:ascii="仿宋_GB2312" w:hAnsi="仿宋"/>
          <w:b/>
          <w:color w:val="auto"/>
          <w:szCs w:val="32"/>
        </w:rPr>
        <w:t>一般公共预算财政拨款“三公”经费支出决算具体情况说明。</w:t>
      </w:r>
    </w:p>
    <w:p w14:paraId="7DE5EB26">
      <w:pPr>
        <w:ind w:firstLine="640" w:firstLineChars="200"/>
        <w:rPr>
          <w:rFonts w:hint="eastAsia" w:ascii="仿宋_GB2312" w:hAnsi="仿宋"/>
          <w:color w:val="auto"/>
          <w:szCs w:val="32"/>
        </w:rPr>
      </w:pPr>
      <w:r>
        <w:rPr>
          <w:rFonts w:hint="eastAsia" w:ascii="仿宋_GB2312" w:hAnsi="仿宋"/>
          <w:color w:val="auto"/>
          <w:szCs w:val="32"/>
          <w:lang w:eastAsia="zh-CN"/>
        </w:rPr>
        <w:t>黄山市统计局2024年度</w:t>
      </w:r>
      <w:r>
        <w:rPr>
          <w:rFonts w:hint="eastAsia" w:ascii="仿宋_GB2312" w:hAnsi="仿宋"/>
          <w:color w:val="auto"/>
          <w:szCs w:val="32"/>
        </w:rPr>
        <w:t>一般公共预算财政拨款“三公”经费支出决算中，因公出国（境）费支出决算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%;公务接待费支出决算</w:t>
      </w:r>
      <w:r>
        <w:rPr>
          <w:rFonts w:hint="eastAsia" w:ascii="仿宋_GB2312" w:hAnsi="仿宋"/>
          <w:color w:val="auto"/>
          <w:szCs w:val="32"/>
          <w:lang w:val="en-US" w:eastAsia="zh-CN"/>
        </w:rPr>
        <w:t>2.03</w:t>
      </w:r>
      <w:r>
        <w:rPr>
          <w:rFonts w:hint="eastAsia" w:ascii="仿宋_GB2312" w:hAnsi="仿宋"/>
          <w:color w:val="auto"/>
          <w:szCs w:val="32"/>
        </w:rPr>
        <w:t>万元，占</w:t>
      </w:r>
      <w:r>
        <w:rPr>
          <w:rFonts w:hint="eastAsia" w:ascii="仿宋_GB2312" w:hAnsi="仿宋"/>
          <w:color w:val="auto"/>
          <w:szCs w:val="32"/>
          <w:lang w:val="en-US" w:eastAsia="zh-CN"/>
        </w:rPr>
        <w:t>100</w:t>
      </w:r>
      <w:r>
        <w:rPr>
          <w:rFonts w:hint="eastAsia" w:ascii="仿宋_GB2312" w:hAnsi="仿宋"/>
          <w:color w:val="auto"/>
          <w:szCs w:val="32"/>
        </w:rPr>
        <w:t>%；公务用车购置及运行维护费支出决算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%。具体情况如下：</w:t>
      </w:r>
    </w:p>
    <w:p w14:paraId="29388BA9">
      <w:pPr>
        <w:keepNext w:val="0"/>
        <w:keepLines w:val="0"/>
        <w:pageBreakBefore w:val="0"/>
        <w:widowControl w:val="0"/>
        <w:kinsoku/>
        <w:wordWrap/>
        <w:overflowPunct/>
        <w:topLinePunct w:val="0"/>
        <w:autoSpaceDE/>
        <w:autoSpaceDN/>
        <w:bidi w:val="0"/>
        <w:adjustRightInd/>
        <w:snapToGrid/>
        <w:spacing w:line="560" w:lineRule="exact"/>
        <w:ind w:firstLine="628"/>
        <w:textAlignment w:val="auto"/>
        <w:rPr>
          <w:rFonts w:hint="eastAsia" w:ascii="仿宋_GB2312" w:hAnsi="仿宋"/>
          <w:color w:val="auto"/>
          <w:szCs w:val="32"/>
        </w:rPr>
      </w:pPr>
      <w:r>
        <w:rPr>
          <w:rFonts w:hint="eastAsia" w:ascii="仿宋_GB2312" w:hAnsi="仿宋"/>
          <w:b/>
          <w:bCs/>
          <w:color w:val="auto"/>
          <w:szCs w:val="32"/>
        </w:rPr>
        <w:t>1.因公出国（境）费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0</w:t>
      </w:r>
      <w:r>
        <w:rPr>
          <w:rFonts w:hint="eastAsia" w:ascii="仿宋_GB2312" w:hAnsi="仿宋"/>
          <w:color w:val="auto"/>
          <w:szCs w:val="32"/>
          <w:lang w:eastAsia="zh-CN"/>
        </w:rPr>
        <w:t>%，</w:t>
      </w:r>
      <w:r>
        <w:rPr>
          <w:rFonts w:hint="eastAsia" w:ascii="仿宋_GB2312" w:hAnsi="仿宋"/>
          <w:color w:val="auto"/>
          <w:szCs w:val="32"/>
          <w:u w:val="none"/>
        </w:rPr>
        <w:t>决算数</w:t>
      </w:r>
      <w:r>
        <w:rPr>
          <w:rFonts w:hint="eastAsia" w:ascii="仿宋_GB2312" w:hAnsi="仿宋"/>
          <w:color w:val="auto"/>
          <w:szCs w:val="32"/>
          <w:u w:val="none"/>
          <w:lang w:val="en-US" w:eastAsia="zh-CN"/>
        </w:rPr>
        <w:t>与</w:t>
      </w:r>
      <w:r>
        <w:rPr>
          <w:rFonts w:hint="eastAsia" w:ascii="仿宋_GB2312" w:hAnsi="仿宋"/>
          <w:color w:val="auto"/>
          <w:szCs w:val="32"/>
          <w:u w:val="none"/>
        </w:rPr>
        <w:t>预算数</w:t>
      </w:r>
      <w:r>
        <w:rPr>
          <w:rFonts w:hint="eastAsia" w:ascii="仿宋_GB2312" w:hAnsi="仿宋"/>
          <w:color w:val="auto"/>
          <w:szCs w:val="32"/>
          <w:u w:val="none"/>
          <w:lang w:val="en-US" w:eastAsia="zh-CN"/>
        </w:rPr>
        <w:t>相同</w:t>
      </w:r>
      <w:r>
        <w:rPr>
          <w:rFonts w:hint="eastAsia" w:ascii="仿宋_GB2312" w:hAnsi="仿宋"/>
          <w:color w:val="auto"/>
          <w:szCs w:val="32"/>
          <w:lang w:eastAsia="zh-CN"/>
        </w:rPr>
        <w:t>；</w:t>
      </w:r>
      <w:r>
        <w:rPr>
          <w:rFonts w:hint="eastAsia" w:ascii="仿宋_GB2312" w:hAnsi="仿宋"/>
          <w:color w:val="auto"/>
          <w:szCs w:val="32"/>
          <w:u w:val="none"/>
          <w:lang w:eastAsia="zh-CN"/>
        </w:rPr>
        <w:t>较上年减少（增加）</w:t>
      </w:r>
      <w:r>
        <w:rPr>
          <w:rFonts w:hint="eastAsia" w:ascii="仿宋_GB2312" w:hAnsi="仿宋"/>
          <w:color w:val="auto"/>
          <w:szCs w:val="32"/>
          <w:u w:val="none"/>
          <w:lang w:val="en-US" w:eastAsia="zh-CN"/>
        </w:rPr>
        <w:t>0</w:t>
      </w:r>
      <w:r>
        <w:rPr>
          <w:rFonts w:hint="eastAsia" w:ascii="仿宋_GB2312" w:hAnsi="仿宋"/>
          <w:color w:val="auto"/>
          <w:szCs w:val="32"/>
          <w:u w:val="none"/>
        </w:rPr>
        <w:t>万元</w:t>
      </w:r>
      <w:r>
        <w:rPr>
          <w:rFonts w:hint="eastAsia" w:ascii="仿宋_GB2312" w:hAnsi="仿宋"/>
          <w:color w:val="auto"/>
          <w:szCs w:val="32"/>
          <w:u w:val="none"/>
          <w:lang w:eastAsia="zh-CN"/>
        </w:rPr>
        <w:t>，下降（增长）</w:t>
      </w:r>
      <w:r>
        <w:rPr>
          <w:rFonts w:hint="eastAsia" w:ascii="仿宋_GB2312" w:hAnsi="仿宋"/>
          <w:color w:val="auto"/>
          <w:szCs w:val="32"/>
          <w:u w:val="none"/>
          <w:lang w:val="en-US" w:eastAsia="zh-CN"/>
        </w:rPr>
        <w:t>0.0%。</w:t>
      </w:r>
      <w:r>
        <w:rPr>
          <w:rFonts w:hint="eastAsia" w:ascii="仿宋_GB2312" w:hAnsi="仿宋"/>
          <w:color w:val="auto"/>
          <w:szCs w:val="32"/>
          <w:u w:val="none"/>
        </w:rPr>
        <w:t>主要原因是是</w:t>
      </w:r>
      <w:bookmarkStart w:id="0" w:name="_GoBack"/>
      <w:bookmarkEnd w:id="0"/>
      <w:r>
        <w:rPr>
          <w:rFonts w:hint="eastAsia" w:ascii="仿宋_GB2312" w:hAnsi="仿宋"/>
          <w:color w:val="auto"/>
          <w:szCs w:val="32"/>
          <w:u w:val="none"/>
        </w:rPr>
        <w:t>202</w:t>
      </w:r>
      <w:r>
        <w:rPr>
          <w:rFonts w:hint="eastAsia" w:ascii="仿宋_GB2312" w:hAnsi="仿宋"/>
          <w:color w:val="auto"/>
          <w:szCs w:val="32"/>
          <w:u w:val="none"/>
          <w:lang w:val="en-US" w:eastAsia="zh-CN"/>
        </w:rPr>
        <w:t>3</w:t>
      </w:r>
      <w:r>
        <w:rPr>
          <w:rFonts w:hint="eastAsia" w:ascii="仿宋_GB2312" w:hAnsi="仿宋"/>
          <w:color w:val="auto"/>
          <w:szCs w:val="32"/>
          <w:u w:val="none"/>
        </w:rPr>
        <w:t>年度、202</w:t>
      </w:r>
      <w:r>
        <w:rPr>
          <w:rFonts w:hint="eastAsia" w:ascii="仿宋_GB2312" w:hAnsi="仿宋"/>
          <w:color w:val="auto"/>
          <w:szCs w:val="32"/>
          <w:u w:val="none"/>
          <w:lang w:val="en-US" w:eastAsia="zh-CN"/>
        </w:rPr>
        <w:t>4</w:t>
      </w:r>
      <w:r>
        <w:rPr>
          <w:rFonts w:hint="eastAsia" w:ascii="仿宋_GB2312" w:hAnsi="仿宋"/>
          <w:color w:val="auto"/>
          <w:szCs w:val="32"/>
          <w:u w:val="none"/>
        </w:rPr>
        <w:t>年度均未安排因公出国（境）计划。</w:t>
      </w: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w:t>
      </w:r>
      <w:r>
        <w:rPr>
          <w:rFonts w:hint="eastAsia" w:ascii="仿宋_GB2312" w:hAnsi="仿宋"/>
          <w:color w:val="auto"/>
          <w:szCs w:val="32"/>
          <w:lang w:val="en-US" w:eastAsia="zh-CN"/>
        </w:rPr>
        <w:t>度</w:t>
      </w:r>
      <w:r>
        <w:rPr>
          <w:rFonts w:hint="eastAsia" w:ascii="仿宋_GB2312" w:hAnsi="仿宋"/>
          <w:color w:val="auto"/>
          <w:szCs w:val="32"/>
          <w:lang w:eastAsia="zh-CN"/>
        </w:rPr>
        <w:t>黄山市统计局</w:t>
      </w:r>
      <w:r>
        <w:rPr>
          <w:rFonts w:hint="eastAsia" w:ascii="仿宋_GB2312" w:hAnsi="仿宋"/>
          <w:color w:val="auto"/>
          <w:szCs w:val="32"/>
        </w:rPr>
        <w:t>因公出国（境）团组</w:t>
      </w:r>
      <w:r>
        <w:rPr>
          <w:rFonts w:hint="eastAsia" w:ascii="仿宋_GB2312" w:hAnsi="仿宋"/>
          <w:color w:val="auto"/>
          <w:szCs w:val="32"/>
          <w:lang w:val="en-US" w:eastAsia="zh-CN"/>
        </w:rPr>
        <w:t>0</w:t>
      </w:r>
      <w:r>
        <w:rPr>
          <w:rFonts w:hint="eastAsia" w:ascii="仿宋_GB2312" w:hAnsi="仿宋"/>
          <w:color w:val="auto"/>
          <w:szCs w:val="32"/>
        </w:rPr>
        <w:t>次，累计出国（境）</w:t>
      </w:r>
      <w:r>
        <w:rPr>
          <w:rFonts w:hint="eastAsia" w:ascii="仿宋_GB2312" w:hAnsi="仿宋"/>
          <w:color w:val="auto"/>
          <w:szCs w:val="32"/>
          <w:lang w:val="en-US" w:eastAsia="zh-CN"/>
        </w:rPr>
        <w:t>0</w:t>
      </w:r>
      <w:r>
        <w:rPr>
          <w:rFonts w:hint="eastAsia" w:ascii="仿宋_GB2312" w:hAnsi="仿宋"/>
          <w:color w:val="auto"/>
          <w:szCs w:val="32"/>
        </w:rPr>
        <w:t>人次。经费使用严格按照</w:t>
      </w:r>
      <w:r>
        <w:rPr>
          <w:rFonts w:hint="eastAsia" w:ascii="仿宋_GB2312" w:hAnsi="仿宋"/>
          <w:szCs w:val="32"/>
        </w:rPr>
        <w:t>《黄山市财政局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w:t>
      </w:r>
      <w:r>
        <w:rPr>
          <w:rFonts w:hint="eastAsia" w:ascii="仿宋_GB2312" w:hAnsi="仿宋"/>
          <w:color w:val="auto"/>
          <w:szCs w:val="32"/>
        </w:rPr>
        <w:t>等相关规定执行。</w:t>
      </w:r>
    </w:p>
    <w:p w14:paraId="480FDE08">
      <w:pPr>
        <w:ind w:firstLine="643" w:firstLineChars="200"/>
        <w:rPr>
          <w:rFonts w:hint="eastAsia" w:ascii="仿宋_GB2312" w:hAnsi="仿宋"/>
          <w:color w:val="auto"/>
          <w:szCs w:val="32"/>
        </w:rPr>
      </w:pPr>
      <w:r>
        <w:rPr>
          <w:rFonts w:hint="eastAsia" w:ascii="仿宋_GB2312" w:hAnsi="仿宋"/>
          <w:b/>
          <w:bCs/>
          <w:color w:val="auto"/>
          <w:szCs w:val="32"/>
        </w:rPr>
        <w:t>2.公务接待费</w:t>
      </w:r>
      <w:r>
        <w:rPr>
          <w:rFonts w:hint="eastAsia" w:ascii="仿宋_GB2312" w:hAnsi="仿宋"/>
          <w:color w:val="auto"/>
          <w:szCs w:val="32"/>
          <w:lang w:eastAsia="zh-CN"/>
        </w:rPr>
        <w:t>预算为</w:t>
      </w:r>
      <w:r>
        <w:rPr>
          <w:rFonts w:hint="eastAsia" w:ascii="仿宋_GB2312" w:hAnsi="仿宋"/>
          <w:color w:val="auto"/>
          <w:szCs w:val="32"/>
          <w:lang w:val="en-US" w:eastAsia="zh-CN"/>
        </w:rPr>
        <w:t>2.95</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2.03万元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68.81</w:t>
      </w:r>
      <w:r>
        <w:rPr>
          <w:rFonts w:hint="eastAsia" w:ascii="仿宋_GB2312" w:hAnsi="仿宋"/>
          <w:color w:val="auto"/>
          <w:szCs w:val="32"/>
          <w:lang w:eastAsia="zh-CN"/>
        </w:rPr>
        <w:t>%；</w:t>
      </w:r>
      <w:r>
        <w:rPr>
          <w:rFonts w:hint="eastAsia" w:ascii="仿宋_GB2312" w:hAnsi="仿宋"/>
          <w:color w:val="auto"/>
          <w:szCs w:val="32"/>
          <w:u w:val="none"/>
          <w:lang w:eastAsia="zh-CN"/>
        </w:rPr>
        <w:t>较上年</w:t>
      </w:r>
      <w:r>
        <w:rPr>
          <w:rFonts w:hint="eastAsia" w:ascii="仿宋_GB2312" w:hAnsi="仿宋"/>
          <w:color w:val="auto"/>
          <w:szCs w:val="32"/>
          <w:u w:val="none"/>
          <w:lang w:val="en-US" w:eastAsia="zh-CN"/>
        </w:rPr>
        <w:t>减少0.12</w:t>
      </w:r>
      <w:r>
        <w:rPr>
          <w:rFonts w:hint="eastAsia" w:ascii="仿宋_GB2312" w:hAnsi="仿宋"/>
          <w:color w:val="auto"/>
          <w:szCs w:val="32"/>
          <w:u w:val="none"/>
        </w:rPr>
        <w:t>万元</w:t>
      </w:r>
      <w:r>
        <w:rPr>
          <w:rFonts w:hint="eastAsia" w:ascii="仿宋_GB2312" w:hAnsi="仿宋"/>
          <w:color w:val="auto"/>
          <w:szCs w:val="32"/>
          <w:u w:val="none"/>
          <w:lang w:eastAsia="zh-CN"/>
        </w:rPr>
        <w:t>，</w:t>
      </w:r>
      <w:r>
        <w:rPr>
          <w:rFonts w:hint="eastAsia" w:ascii="仿宋_GB2312" w:hAnsi="仿宋"/>
          <w:color w:val="auto"/>
          <w:szCs w:val="32"/>
          <w:u w:val="none"/>
          <w:lang w:val="en-US" w:eastAsia="zh-CN"/>
        </w:rPr>
        <w:t>下降5.58%。</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于预算数的主要原因是继续贯彻中央八项规定精神，厉行节约。决算数</w:t>
      </w:r>
      <w:r>
        <w:rPr>
          <w:rFonts w:hint="eastAsia" w:ascii="仿宋_GB2312" w:hAnsi="仿宋"/>
          <w:color w:val="auto"/>
          <w:szCs w:val="32"/>
          <w:u w:val="none"/>
          <w:lang w:eastAsia="zh-CN"/>
        </w:rPr>
        <w:t>较上年</w:t>
      </w:r>
      <w:r>
        <w:rPr>
          <w:rFonts w:hint="eastAsia" w:ascii="仿宋_GB2312" w:hAnsi="仿宋"/>
          <w:color w:val="auto"/>
          <w:szCs w:val="32"/>
          <w:u w:val="none"/>
          <w:lang w:val="en-US" w:eastAsia="zh-CN"/>
        </w:rPr>
        <w:t>减少</w:t>
      </w:r>
      <w:r>
        <w:rPr>
          <w:rFonts w:hint="eastAsia" w:ascii="仿宋_GB2312" w:hAnsi="仿宋"/>
          <w:color w:val="auto"/>
          <w:szCs w:val="32"/>
          <w:u w:val="none"/>
        </w:rPr>
        <w:t>的主要原因是</w:t>
      </w:r>
      <w:r>
        <w:rPr>
          <w:rFonts w:hint="eastAsia" w:ascii="仿宋_GB2312" w:hAnsi="仿宋"/>
          <w:color w:val="auto"/>
          <w:szCs w:val="32"/>
          <w:lang w:val="en-US" w:eastAsia="zh-CN"/>
        </w:rPr>
        <w:t>厉行节约，压减“三公”经费支</w:t>
      </w:r>
      <w:r>
        <w:rPr>
          <w:rFonts w:hint="eastAsia" w:ascii="仿宋_GB2312" w:hAnsi="仿宋"/>
          <w:color w:val="auto"/>
          <w:szCs w:val="32"/>
        </w:rPr>
        <w:t>出</w:t>
      </w:r>
      <w:r>
        <w:rPr>
          <w:rFonts w:hint="eastAsia" w:ascii="仿宋_GB2312" w:hAnsi="仿宋"/>
          <w:color w:val="auto"/>
          <w:szCs w:val="32"/>
          <w:u w:val="none"/>
        </w:rPr>
        <w:t>。</w:t>
      </w: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w:t>
      </w:r>
      <w:r>
        <w:rPr>
          <w:rFonts w:hint="eastAsia" w:ascii="仿宋_GB2312" w:hAnsi="仿宋"/>
          <w:color w:val="auto"/>
          <w:szCs w:val="32"/>
          <w:lang w:val="en-US" w:eastAsia="zh-CN"/>
        </w:rPr>
        <w:t>度</w:t>
      </w:r>
      <w:r>
        <w:rPr>
          <w:rFonts w:hint="eastAsia" w:ascii="仿宋_GB2312" w:hAnsi="仿宋"/>
          <w:color w:val="auto"/>
          <w:szCs w:val="32"/>
          <w:lang w:eastAsia="zh-CN"/>
        </w:rPr>
        <w:t>黄山市统计局</w:t>
      </w:r>
      <w:r>
        <w:rPr>
          <w:rFonts w:hint="eastAsia" w:ascii="仿宋_GB2312" w:hAnsi="仿宋"/>
          <w:color w:val="auto"/>
          <w:szCs w:val="32"/>
        </w:rPr>
        <w:t>国内公务接待共</w:t>
      </w:r>
      <w:r>
        <w:rPr>
          <w:rFonts w:hint="eastAsia" w:ascii="仿宋_GB2312" w:hAnsi="仿宋"/>
          <w:color w:val="auto"/>
          <w:szCs w:val="32"/>
          <w:lang w:val="en-US" w:eastAsia="zh-CN"/>
        </w:rPr>
        <w:t>28</w:t>
      </w:r>
      <w:r>
        <w:rPr>
          <w:rFonts w:hint="eastAsia" w:ascii="仿宋_GB2312" w:hAnsi="仿宋"/>
          <w:color w:val="auto"/>
          <w:szCs w:val="32"/>
        </w:rPr>
        <w:t>批次（其中外事接待</w:t>
      </w:r>
      <w:r>
        <w:rPr>
          <w:rFonts w:hint="eastAsia" w:ascii="仿宋_GB2312" w:hAnsi="仿宋"/>
          <w:color w:val="auto"/>
          <w:szCs w:val="32"/>
          <w:lang w:val="en-US" w:eastAsia="zh-CN"/>
        </w:rPr>
        <w:t>0</w:t>
      </w:r>
      <w:r>
        <w:rPr>
          <w:rFonts w:hint="eastAsia" w:ascii="仿宋_GB2312" w:hAnsi="仿宋"/>
          <w:color w:val="auto"/>
          <w:szCs w:val="32"/>
        </w:rPr>
        <w:t>批次），</w:t>
      </w:r>
      <w:r>
        <w:rPr>
          <w:rFonts w:hint="eastAsia" w:ascii="仿宋_GB2312" w:hAnsi="仿宋"/>
          <w:color w:val="auto"/>
          <w:szCs w:val="32"/>
          <w:lang w:val="en-US" w:eastAsia="zh-CN"/>
        </w:rPr>
        <w:t>209</w:t>
      </w:r>
      <w:r>
        <w:rPr>
          <w:rFonts w:hint="eastAsia" w:ascii="仿宋_GB2312" w:hAnsi="仿宋"/>
          <w:color w:val="auto"/>
          <w:szCs w:val="32"/>
        </w:rPr>
        <w:t>人次（其中外事接待</w:t>
      </w:r>
      <w:r>
        <w:rPr>
          <w:rFonts w:hint="eastAsia" w:ascii="仿宋_GB2312" w:hAnsi="仿宋"/>
          <w:color w:val="auto"/>
          <w:szCs w:val="32"/>
          <w:lang w:val="en-US" w:eastAsia="zh-CN"/>
        </w:rPr>
        <w:t>0</w:t>
      </w:r>
      <w:r>
        <w:rPr>
          <w:rFonts w:hint="eastAsia" w:ascii="仿宋_GB2312" w:hAnsi="仿宋"/>
          <w:color w:val="auto"/>
          <w:szCs w:val="32"/>
        </w:rPr>
        <w:t>人次）。主要是用于经审批的接待上级部门和区县工作往来的统计公务接待支出。经费使用贯彻中央八项规定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14:paraId="04E64686">
      <w:pPr>
        <w:ind w:firstLine="643" w:firstLineChars="200"/>
        <w:rPr>
          <w:rFonts w:hint="eastAsia"/>
          <w:color w:val="auto"/>
        </w:rPr>
      </w:pPr>
      <w:r>
        <w:rPr>
          <w:rFonts w:hint="eastAsia" w:ascii="仿宋_GB2312" w:hAnsi="仿宋"/>
          <w:b/>
          <w:bCs/>
          <w:color w:val="auto"/>
          <w:szCs w:val="32"/>
        </w:rPr>
        <w:t>3.公务用车购置及运行维护费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0.0</w:t>
      </w:r>
      <w:r>
        <w:rPr>
          <w:rFonts w:hint="eastAsia" w:ascii="仿宋_GB2312" w:hAnsi="仿宋"/>
          <w:color w:val="auto"/>
          <w:szCs w:val="32"/>
          <w:lang w:eastAsia="zh-CN"/>
        </w:rPr>
        <w:t>%，</w:t>
      </w:r>
      <w:r>
        <w:rPr>
          <w:rFonts w:hint="eastAsia" w:ascii="仿宋_GB2312" w:hAnsi="仿宋"/>
          <w:color w:val="auto"/>
          <w:szCs w:val="32"/>
          <w:u w:val="none"/>
        </w:rPr>
        <w:t>决算数与预算数相同，原因是</w:t>
      </w:r>
      <w:r>
        <w:rPr>
          <w:rFonts w:hint="eastAsia" w:ascii="仿宋_GB2312" w:hAnsi="仿宋"/>
          <w:color w:val="auto"/>
          <w:szCs w:val="32"/>
          <w:u w:val="none"/>
          <w:lang w:eastAsia="zh-CN"/>
        </w:rPr>
        <w:t>2024年度</w:t>
      </w:r>
      <w:r>
        <w:rPr>
          <w:rFonts w:hint="eastAsia" w:ascii="仿宋_GB2312" w:hAnsi="仿宋"/>
          <w:color w:val="auto"/>
          <w:szCs w:val="32"/>
          <w:u w:val="none"/>
        </w:rPr>
        <w:t>未安排公务用车购置及运行维护费</w:t>
      </w:r>
      <w:r>
        <w:rPr>
          <w:rFonts w:hint="eastAsia" w:ascii="仿宋_GB2312" w:hAnsi="仿宋"/>
          <w:color w:val="auto"/>
          <w:szCs w:val="32"/>
          <w:lang w:eastAsia="zh-CN"/>
        </w:rPr>
        <w:t>；</w:t>
      </w:r>
      <w:r>
        <w:rPr>
          <w:rFonts w:hint="eastAsia" w:ascii="仿宋_GB2312" w:hAnsi="仿宋"/>
          <w:color w:val="auto"/>
          <w:szCs w:val="32"/>
          <w:u w:val="none"/>
          <w:lang w:eastAsia="zh-CN"/>
        </w:rPr>
        <w:t>较上年减少（增加）</w:t>
      </w:r>
      <w:r>
        <w:rPr>
          <w:rFonts w:hint="eastAsia" w:ascii="仿宋_GB2312" w:hAnsi="仿宋"/>
          <w:color w:val="auto"/>
          <w:szCs w:val="32"/>
          <w:u w:val="none"/>
          <w:lang w:val="en-US" w:eastAsia="zh-CN"/>
        </w:rPr>
        <w:t>0</w:t>
      </w:r>
      <w:r>
        <w:rPr>
          <w:rFonts w:hint="eastAsia" w:ascii="仿宋_GB2312" w:hAnsi="仿宋"/>
          <w:color w:val="auto"/>
          <w:szCs w:val="32"/>
          <w:u w:val="none"/>
        </w:rPr>
        <w:t>万元</w:t>
      </w:r>
      <w:r>
        <w:rPr>
          <w:rFonts w:hint="eastAsia" w:ascii="仿宋_GB2312" w:hAnsi="仿宋"/>
          <w:color w:val="auto"/>
          <w:szCs w:val="32"/>
          <w:u w:val="none"/>
          <w:lang w:eastAsia="zh-CN"/>
        </w:rPr>
        <w:t>，下降（增长）</w:t>
      </w:r>
      <w:r>
        <w:rPr>
          <w:rFonts w:hint="eastAsia" w:ascii="仿宋_GB2312" w:hAnsi="仿宋"/>
          <w:color w:val="auto"/>
          <w:szCs w:val="32"/>
          <w:u w:val="none"/>
          <w:lang w:val="en-US" w:eastAsia="zh-CN"/>
        </w:rPr>
        <w:t>0%。</w:t>
      </w:r>
      <w:r>
        <w:rPr>
          <w:rFonts w:hint="eastAsia" w:ascii="仿宋_GB2312" w:hAnsi="仿宋"/>
          <w:color w:val="auto"/>
          <w:szCs w:val="32"/>
          <w:u w:val="none"/>
        </w:rPr>
        <w:t>决算数与</w:t>
      </w:r>
      <w:r>
        <w:rPr>
          <w:rFonts w:hint="eastAsia" w:ascii="仿宋_GB2312" w:hAnsi="仿宋"/>
          <w:color w:val="auto"/>
          <w:szCs w:val="32"/>
          <w:u w:val="none"/>
          <w:lang w:val="en-US" w:eastAsia="zh-CN"/>
        </w:rPr>
        <w:t>上年</w:t>
      </w:r>
      <w:r>
        <w:rPr>
          <w:rFonts w:hint="eastAsia" w:ascii="仿宋_GB2312" w:hAnsi="仿宋"/>
          <w:color w:val="auto"/>
          <w:szCs w:val="32"/>
          <w:u w:val="none"/>
        </w:rPr>
        <w:t>数相同，原因是</w:t>
      </w:r>
      <w:r>
        <w:rPr>
          <w:rFonts w:hint="eastAsia" w:ascii="仿宋_GB2312" w:hAnsi="仿宋"/>
          <w:color w:val="auto"/>
          <w:szCs w:val="32"/>
          <w:u w:val="none"/>
          <w:lang w:val="en-US" w:eastAsia="zh-CN"/>
        </w:rPr>
        <w:t>2023年度、</w:t>
      </w:r>
      <w:r>
        <w:rPr>
          <w:rFonts w:hint="eastAsia" w:ascii="仿宋_GB2312" w:hAnsi="仿宋"/>
          <w:color w:val="auto"/>
          <w:szCs w:val="32"/>
          <w:u w:val="none"/>
          <w:lang w:eastAsia="zh-CN"/>
        </w:rPr>
        <w:t>2024年度</w:t>
      </w:r>
      <w:r>
        <w:rPr>
          <w:rFonts w:hint="eastAsia" w:ascii="仿宋_GB2312" w:hAnsi="仿宋"/>
          <w:color w:val="auto"/>
          <w:szCs w:val="32"/>
          <w:u w:val="none"/>
          <w:lang w:val="en-US" w:eastAsia="zh-CN"/>
        </w:rPr>
        <w:t>均</w:t>
      </w:r>
      <w:r>
        <w:rPr>
          <w:rFonts w:hint="eastAsia" w:ascii="仿宋_GB2312" w:hAnsi="仿宋"/>
          <w:color w:val="auto"/>
          <w:szCs w:val="32"/>
          <w:u w:val="none"/>
        </w:rPr>
        <w:t>未安排公务用车购置及运行维护费</w:t>
      </w:r>
      <w:r>
        <w:rPr>
          <w:rFonts w:hint="eastAsia" w:ascii="仿宋_GB2312" w:hAnsi="仿宋"/>
          <w:color w:val="auto"/>
          <w:szCs w:val="32"/>
        </w:rPr>
        <w:t>。截至</w:t>
      </w: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年12月31日，</w:t>
      </w:r>
      <w:r>
        <w:rPr>
          <w:rFonts w:hint="eastAsia" w:ascii="仿宋_GB2312" w:hAnsi="仿宋"/>
          <w:color w:val="auto"/>
          <w:szCs w:val="32"/>
          <w:lang w:eastAsia="zh-CN"/>
        </w:rPr>
        <w:t>黄山市</w:t>
      </w:r>
      <w:r>
        <w:rPr>
          <w:rFonts w:hint="eastAsia" w:ascii="仿宋_GB2312" w:hAnsi="仿宋"/>
          <w:color w:val="auto"/>
          <w:szCs w:val="32"/>
          <w:lang w:val="en-US" w:eastAsia="zh-CN"/>
        </w:rPr>
        <w:t>统计局及所属单位</w:t>
      </w:r>
      <w:r>
        <w:rPr>
          <w:rFonts w:hint="eastAsia" w:ascii="仿宋_GB2312" w:hAnsi="仿宋"/>
          <w:color w:val="auto"/>
          <w:szCs w:val="32"/>
        </w:rPr>
        <w:t>机关开支财政拨款的公务用车保有量为</w:t>
      </w:r>
      <w:r>
        <w:rPr>
          <w:rFonts w:hint="eastAsia" w:ascii="仿宋_GB2312" w:hAnsi="仿宋"/>
          <w:color w:val="auto"/>
          <w:szCs w:val="32"/>
          <w:lang w:val="en-US" w:eastAsia="zh-CN"/>
        </w:rPr>
        <w:t>0</w:t>
      </w:r>
      <w:r>
        <w:rPr>
          <w:rFonts w:hint="eastAsia" w:ascii="仿宋_GB2312" w:hAnsi="仿宋"/>
          <w:color w:val="auto"/>
          <w:szCs w:val="32"/>
        </w:rPr>
        <w:t>辆。</w:t>
      </w:r>
    </w:p>
    <w:p w14:paraId="587067B9">
      <w:pPr>
        <w:pStyle w:val="2"/>
        <w:jc w:val="both"/>
        <w:rPr>
          <w:rFonts w:hint="eastAsia" w:ascii="仿宋_GB2312" w:eastAsia="仿宋_GB2312"/>
          <w:color w:val="auto"/>
          <w:sz w:val="32"/>
        </w:rPr>
      </w:pPr>
    </w:p>
    <w:p w14:paraId="6971C976">
      <w:pPr>
        <w:pStyle w:val="2"/>
        <w:jc w:val="both"/>
        <w:rPr>
          <w:rFonts w:hint="eastAsia"/>
          <w:color w:val="auto"/>
        </w:rPr>
      </w:pPr>
    </w:p>
    <w:p w14:paraId="5D0182E1">
      <w:pPr>
        <w:pStyle w:val="2"/>
      </w:pPr>
    </w:p>
    <w:p w14:paraId="6D0075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NjM1MDFiNGY2M2NlZmQ1ZDA2NjM2YjI0NzZhMmEifQ=="/>
  </w:docVars>
  <w:rsids>
    <w:rsidRoot w:val="00000000"/>
    <w:rsid w:val="294D380E"/>
    <w:rsid w:val="37CD20E1"/>
    <w:rsid w:val="670E1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1359</Words>
  <Characters>1500</Characters>
  <Lines>0</Lines>
  <Paragraphs>0</Paragraphs>
  <TotalTime>2</TotalTime>
  <ScaleCrop>false</ScaleCrop>
  <LinksUpToDate>false</LinksUpToDate>
  <CharactersWithSpaces>1578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2024-09-21T05:05:00Z</dcterms:created>
  <dc:creator>陈龙</dc:creator>
  <cp:lastModifiedBy>66250929</cp:lastModifiedBy>
  <dcterms:modified xsi:type="dcterms:W3CDTF">2025-09-12T02:10:48Z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B894A63EAF304A1BB39249FA74DEC29E_12</vt:lpwstr>
  </property>
  <property fmtid="{D5CDD505-2E9C-101B-9397-08002B2CF9AE}" pid="4" name="KSOTemplateDocerSaveRecord">
    <vt:lpwstr>eyJoZGlkIjoiZTE3NjM1MDFiNGY2M2NlZmQ1ZDA2NjM2YjI0NzZhMmEiLCJ1c2VySWQiOiIyNzA4NDg5OTUifQ==</vt:lpwstr>
  </property>
</Properties>
</file>